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shd w:fill="0070C0" w:val="clear"/>
        <w:rPr>
          <w:rFonts w:ascii="Arial" w:hAnsi="Arial" w:cs="Arial"/>
          <w:sz w:val="56"/>
          <w:szCs w:val="72"/>
        </w:rPr>
      </w:pPr>
      <w:r>
        <w:rPr>
          <w:rFonts w:cs="Arial" w:ascii="Arial" w:hAnsi="Arial"/>
          <w:caps w:val="false"/>
          <w:smallCaps w:val="false"/>
          <w:sz w:val="56"/>
          <w:szCs w:val="72"/>
        </w:rPr>
        <w:t xml:space="preserve">RAPORT </w:t>
      </w:r>
    </w:p>
    <w:p>
      <w:pPr>
        <w:pStyle w:val="Tytu"/>
        <w:rPr>
          <w:rFonts w:ascii="Arial" w:hAnsi="Arial" w:cs="Arial"/>
          <w:sz w:val="56"/>
          <w:szCs w:val="72"/>
        </w:rPr>
      </w:pPr>
      <w:r>
        <w:rPr>
          <w:rFonts w:cs="Arial" w:ascii="Arial" w:hAnsi="Arial"/>
          <w:caps w:val="false"/>
          <w:smallCaps w:val="false"/>
          <w:sz w:val="56"/>
          <w:szCs w:val="72"/>
        </w:rPr>
        <w:t xml:space="preserve">Z KONSULTACJI SPOŁECZNYCH </w:t>
        <w:br/>
        <w:t xml:space="preserve">W GMINIE OTYŃ </w:t>
        <w:br/>
        <w:t>Z DNIA 20.04.2022</w:t>
      </w:r>
    </w:p>
    <w:p>
      <w:pPr>
        <w:pStyle w:val="Normal"/>
        <w:spacing w:lineRule="auto" w:line="288"/>
        <w:rPr>
          <w:rFonts w:cs="Arial"/>
          <w:b/>
          <w:b/>
          <w:sz w:val="28"/>
          <w:szCs w:val="30"/>
        </w:rPr>
      </w:pPr>
      <w:r>
        <w:rPr>
          <w:rFonts w:cs="Arial"/>
          <w:b/>
          <w:sz w:val="28"/>
          <w:szCs w:val="30"/>
        </w:rPr>
      </w:r>
    </w:p>
    <w:p>
      <w:pPr>
        <w:pStyle w:val="Tytu"/>
        <w:pBdr>
          <w:top w:val="single" w:sz="48" w:space="1" w:color="0070C0"/>
          <w:left w:val="single" w:sz="48" w:space="4" w:color="0070C0"/>
          <w:bottom w:val="single" w:sz="48" w:space="0" w:color="0070C0"/>
          <w:right w:val="single" w:sz="48" w:space="4" w:color="0070C0"/>
        </w:pBdr>
        <w:shd w:fill="0070C0" w:val="clear"/>
        <w:rPr>
          <w:rFonts w:ascii="Arial" w:hAnsi="Arial" w:cs="Arial"/>
          <w:sz w:val="28"/>
        </w:rPr>
      </w:pPr>
      <w:r>
        <w:rPr>
          <w:rFonts w:cs="Arial" w:ascii="Arial" w:hAnsi="Arial"/>
          <w:caps w:val="false"/>
          <w:smallCaps w:val="false"/>
          <w:sz w:val="28"/>
        </w:rPr>
        <w:t>SPOTKANIE KONSULTACYJNE W GMINIE OTYŃ W RAMACH PRZYGOTOWANIA DIAGNOZY DO STRATEGII ROZWOJU PONADLOKALNEGO ZIELONOGÓRSKO-NOWOSOLSKIEGO OBSZARU FUNKCJONALNEGO</w:t>
      </w:r>
    </w:p>
    <w:p>
      <w:pPr>
        <w:pStyle w:val="Normal"/>
        <w:spacing w:lineRule="auto" w:line="288"/>
        <w:jc w:val="center"/>
        <w:rPr>
          <w:rFonts w:cs="Arial"/>
          <w:b/>
          <w:b/>
          <w:sz w:val="30"/>
          <w:szCs w:val="30"/>
        </w:rPr>
      </w:pPr>
      <w:r>
        <w:rPr>
          <w:rFonts w:cs="Arial"/>
          <w:b/>
          <w:sz w:val="30"/>
          <w:szCs w:val="30"/>
        </w:rPr>
      </w:r>
    </w:p>
    <w:p>
      <w:pPr>
        <w:pStyle w:val="Normal"/>
        <w:spacing w:lineRule="auto" w:line="288"/>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Stopka"/>
        <w:jc w:val="center"/>
        <w:rPr>
          <w:rFonts w:cs="Arial"/>
        </w:rPr>
      </w:pPr>
      <w:r>
        <w:rPr/>
        <w:drawing>
          <wp:inline distT="0" distB="0" distL="0" distR="0">
            <wp:extent cx="5760720" cy="80010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760720" cy="800100"/>
                    </a:xfrm>
                    <a:prstGeom prst="rect">
                      <a:avLst/>
                    </a:prstGeom>
                  </pic:spPr>
                </pic:pic>
              </a:graphicData>
            </a:graphic>
          </wp:inline>
        </w:drawing>
      </w:r>
      <w:r>
        <w:rPr>
          <w:rFonts w:cs="Arial"/>
        </w:rPr>
        <w:t>Zadanie jest współfinansowane ze środków Funduszu Spójności w ramach Programu Operacyjnego Pomoc Techniczna 2014–2020</w:t>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r>
    </w:p>
    <w:p>
      <w:pPr>
        <w:pStyle w:val="Normal"/>
        <w:spacing w:lineRule="auto" w:line="288"/>
        <w:jc w:val="center"/>
        <w:rPr>
          <w:rFonts w:cs="Arial"/>
          <w:b/>
          <w:b/>
          <w:sz w:val="30"/>
          <w:szCs w:val="30"/>
        </w:rPr>
      </w:pPr>
      <w:r>
        <w:rPr>
          <w:rFonts w:cs="Arial"/>
          <w:b/>
          <w:sz w:val="30"/>
          <w:szCs w:val="30"/>
        </w:rPr>
        <w:t>22 kwietnia 2022</w:t>
      </w:r>
    </w:p>
    <w:p>
      <w:pPr>
        <w:pStyle w:val="ListParagraph"/>
        <w:numPr>
          <w:ilvl w:val="0"/>
          <w:numId w:val="1"/>
        </w:numPr>
        <w:spacing w:before="0" w:after="0"/>
        <w:contextualSpacing/>
        <w:rPr>
          <w:rFonts w:cs="Arial"/>
          <w:b/>
          <w:b/>
        </w:rPr>
      </w:pPr>
      <w:r>
        <w:rPr>
          <w:rFonts w:cs="Arial"/>
          <w:b/>
        </w:rPr>
        <w:t xml:space="preserve">Wprowadzenie </w:t>
      </w:r>
    </w:p>
    <w:p>
      <w:pPr>
        <w:pStyle w:val="Normal"/>
        <w:spacing w:before="0" w:after="0"/>
        <w:jc w:val="both"/>
        <w:rPr>
          <w:rFonts w:cs="Arial"/>
        </w:rPr>
      </w:pPr>
      <w:r>
        <w:rPr>
          <w:rFonts w:cs="Arial"/>
        </w:rPr>
        <w:t>W związku z rozpoczęciem prac nad przygotowaniem diagnozy do Strategii Rozwoju Ponadlokalnego Zielonogórsko-Nowosolskiego Obszaru Funkcjonalnego (ZNOF) firma Kreatus sp. z o.o. przeprowadziła konsultacje społeczne w gminie Otyń. W spotkaniu, które odbyło się w Gminnym Centrum Kultury 20 kwietnia 2022 r. o godz. 13.30, wzięło udział 12 osób (3 kobiety i 9 mężczyzn) reprezentujących poniższe instytucje:</w:t>
      </w:r>
    </w:p>
    <w:p>
      <w:pPr>
        <w:pStyle w:val="ListParagraph"/>
        <w:numPr>
          <w:ilvl w:val="0"/>
          <w:numId w:val="2"/>
        </w:numPr>
        <w:spacing w:before="0" w:after="0"/>
        <w:contextualSpacing/>
        <w:jc w:val="both"/>
        <w:rPr>
          <w:rFonts w:cs="Arial"/>
        </w:rPr>
      </w:pPr>
      <w:r>
        <w:rPr>
          <w:rFonts w:cs="Arial"/>
        </w:rPr>
        <w:t>Urząd Miejski w Otyniu</w:t>
      </w:r>
    </w:p>
    <w:p>
      <w:pPr>
        <w:pStyle w:val="ListParagraph"/>
        <w:numPr>
          <w:ilvl w:val="0"/>
          <w:numId w:val="2"/>
        </w:numPr>
        <w:spacing w:before="0" w:after="0"/>
        <w:contextualSpacing/>
        <w:jc w:val="both"/>
        <w:rPr>
          <w:rFonts w:cs="Arial"/>
        </w:rPr>
      </w:pPr>
      <w:r>
        <w:rPr>
          <w:rFonts w:cs="Arial"/>
        </w:rPr>
        <w:t>Rada Miejska Otyń</w:t>
      </w:r>
    </w:p>
    <w:p>
      <w:pPr>
        <w:pStyle w:val="ListParagraph"/>
        <w:numPr>
          <w:ilvl w:val="0"/>
          <w:numId w:val="2"/>
        </w:numPr>
        <w:spacing w:before="0" w:after="0"/>
        <w:contextualSpacing/>
        <w:jc w:val="both"/>
        <w:rPr>
          <w:rFonts w:cs="Arial"/>
        </w:rPr>
      </w:pPr>
      <w:r>
        <w:rPr>
          <w:rFonts w:cs="Arial"/>
        </w:rPr>
        <w:t>Gminny Ośrodek Pomocy Społecznej w Otyniu</w:t>
      </w:r>
    </w:p>
    <w:p>
      <w:pPr>
        <w:pStyle w:val="ListParagraph"/>
        <w:numPr>
          <w:ilvl w:val="0"/>
          <w:numId w:val="2"/>
        </w:numPr>
        <w:spacing w:before="0" w:after="0"/>
        <w:contextualSpacing/>
        <w:jc w:val="both"/>
        <w:rPr>
          <w:rFonts w:cs="Arial"/>
        </w:rPr>
      </w:pPr>
      <w:r>
        <w:rPr>
          <w:rFonts w:cs="Arial"/>
        </w:rPr>
        <w:t>Gminne Centrum Kultury w Otyniu</w:t>
      </w:r>
    </w:p>
    <w:p>
      <w:pPr>
        <w:pStyle w:val="ListParagraph"/>
        <w:numPr>
          <w:ilvl w:val="0"/>
          <w:numId w:val="2"/>
        </w:numPr>
        <w:spacing w:before="0" w:after="0"/>
        <w:contextualSpacing/>
        <w:jc w:val="both"/>
        <w:rPr>
          <w:rFonts w:cs="Arial"/>
        </w:rPr>
      </w:pPr>
      <w:r>
        <w:rPr>
          <w:rFonts w:cs="Arial"/>
        </w:rPr>
        <w:t>Urząd Miasta w Zielonej Górze</w:t>
      </w:r>
    </w:p>
    <w:p>
      <w:pPr>
        <w:pStyle w:val="ListParagraph"/>
        <w:numPr>
          <w:ilvl w:val="0"/>
          <w:numId w:val="2"/>
        </w:numPr>
        <w:spacing w:before="0" w:after="0"/>
        <w:contextualSpacing/>
        <w:jc w:val="both"/>
        <w:rPr>
          <w:rFonts w:cs="Arial"/>
        </w:rPr>
      </w:pPr>
      <w:r>
        <w:rPr>
          <w:rFonts w:cs="Arial"/>
        </w:rPr>
        <w:t>Stowarzyszenie „Lubuskie Trójmiasto”</w:t>
      </w:r>
    </w:p>
    <w:p>
      <w:pPr>
        <w:pStyle w:val="Normal"/>
        <w:spacing w:before="120" w:after="120"/>
        <w:jc w:val="both"/>
        <w:rPr>
          <w:rFonts w:cs="Arial"/>
        </w:rPr>
      </w:pPr>
      <w:r>
        <w:rPr>
          <w:rFonts w:cs="Arial"/>
        </w:rPr>
        <w:t>Informacja o planowanych konsultacjach została podana do publicznej wiadomości na 7 dni przed ich rozpoczęciem, m.in. za pośrednictwem mediów społecznościowych (Facebook), stron internetowych, oraz lokalnej prasy (Gazeta Lubuska).</w:t>
      </w:r>
    </w:p>
    <w:p>
      <w:pPr>
        <w:pStyle w:val="ListParagraph"/>
        <w:numPr>
          <w:ilvl w:val="0"/>
          <w:numId w:val="1"/>
        </w:numPr>
        <w:spacing w:before="0" w:after="0"/>
        <w:contextualSpacing/>
        <w:rPr>
          <w:rFonts w:cs="Arial"/>
          <w:b/>
          <w:b/>
        </w:rPr>
      </w:pPr>
      <w:r>
        <w:rPr>
          <w:rFonts w:cs="Arial"/>
          <w:b/>
        </w:rPr>
        <w:t xml:space="preserve">Przebieg konsultacji </w:t>
      </w:r>
    </w:p>
    <w:p>
      <w:pPr>
        <w:pStyle w:val="Normal"/>
        <w:spacing w:before="120" w:after="120"/>
        <w:jc w:val="both"/>
        <w:rPr>
          <w:rFonts w:cs="Arial"/>
        </w:rPr>
      </w:pPr>
      <w:r>
        <w:rPr>
          <w:rFonts w:cs="Arial"/>
        </w:rPr>
        <w:t>W odniesieniu do przedstawionej przez firmę Kreatus prezentacji zawierającej problemy i deficyty, a także potencjały ZNOF (zidentyfikowane na podstawie dokumentów strategicznych), uczestnicy konsultacji zgłosili poniższe uwagi w wybranych obszarach:</w:t>
      </w:r>
    </w:p>
    <w:p>
      <w:pPr>
        <w:pStyle w:val="Normal"/>
        <w:spacing w:before="120" w:after="120"/>
        <w:jc w:val="both"/>
        <w:rPr>
          <w:rFonts w:cs="Arial"/>
          <w:b/>
          <w:b/>
        </w:rPr>
      </w:pPr>
      <w:r>
        <w:rPr>
          <w:rFonts w:cs="Arial"/>
          <w:b/>
        </w:rPr>
        <w:t>RYNEK PRACY I GOSPODARKA</w:t>
      </w:r>
    </w:p>
    <w:p>
      <w:pPr>
        <w:pStyle w:val="ListParagraph"/>
        <w:numPr>
          <w:ilvl w:val="0"/>
          <w:numId w:val="5"/>
        </w:numPr>
        <w:jc w:val="both"/>
        <w:rPr>
          <w:rFonts w:cs="Arial"/>
        </w:rPr>
      </w:pPr>
      <w:r>
        <w:rPr>
          <w:rFonts w:cs="Arial"/>
        </w:rPr>
        <w:t xml:space="preserve">Jak przyznali uczestnicy konsultacji, gmina Otyń pełni rolę „sypialni” dla pracowników Nowej Soli i Zielonej Góry, ze względu na fakt, że na terenie gminy występują niższe koszty życia, zakupu działek, utrzymania itp. Jest to potencjał dla gminy, ponieważ liczba mieszkańców zwiększa się. Gmina rozbudowuje się, przybywa osób szczególnie młodych, w wieku 20-40 lat, którzy kupują działki, budują domy. </w:t>
      </w:r>
    </w:p>
    <w:p>
      <w:pPr>
        <w:pStyle w:val="ListParagraph"/>
        <w:numPr>
          <w:ilvl w:val="0"/>
          <w:numId w:val="5"/>
        </w:numPr>
        <w:jc w:val="both"/>
        <w:rPr>
          <w:rFonts w:cs="Arial"/>
          <w:b/>
          <w:b/>
        </w:rPr>
      </w:pPr>
      <w:r>
        <w:rPr>
          <w:rFonts w:cs="Arial"/>
        </w:rPr>
        <w:t xml:space="preserve">Za potencjał uznano atrakcyjny teren inwestycyjny pod budownictwo jednorodzinne (istnieje duża rezerwa dla budownictwa jednorodzinnego, jest dużo prywatnych właścicieli, gmina ma też swoje plany związane z przekształceniem pod budownictwo). </w:t>
      </w:r>
    </w:p>
    <w:p>
      <w:pPr>
        <w:pStyle w:val="ListParagraph"/>
        <w:numPr>
          <w:ilvl w:val="0"/>
          <w:numId w:val="5"/>
        </w:numPr>
        <w:jc w:val="both"/>
        <w:rPr>
          <w:rFonts w:cs="Arial"/>
          <w:b/>
          <w:b/>
        </w:rPr>
      </w:pPr>
      <w:r>
        <w:rPr>
          <w:rFonts w:cs="Arial"/>
        </w:rPr>
        <w:t>Zwrócono również uwagę, że w związku z wojną na Ukrainie zwiększyła się liczba imigrantów. Jak podał przedstawiciel OPS, z programu 300+ skorzystało 291 świadczeniobiorców, do szkół przyjęto 72 dzieci, a 6 do przedszkola.</w:t>
      </w:r>
    </w:p>
    <w:p>
      <w:pPr>
        <w:pStyle w:val="ListParagraph"/>
        <w:numPr>
          <w:ilvl w:val="0"/>
          <w:numId w:val="5"/>
        </w:numPr>
        <w:jc w:val="both"/>
        <w:rPr>
          <w:rFonts w:cs="Arial"/>
          <w:b/>
          <w:b/>
        </w:rPr>
      </w:pPr>
      <w:r>
        <w:rPr>
          <w:rFonts w:cs="Arial"/>
        </w:rPr>
        <w:t xml:space="preserve">Potencjałem gminy są korzystne warunki dla imigrantów zarobkowych, którzy mogą pracować np. w Zielonej Górze, czy Nowej Soli, a mieszkać w Otyniu ze względu na niższe ceny kupna/wynajmu mieszkań. Przed wybuchem wojnie w Ukrainie, w gminie było około 600 imigrantów zarobkowych. </w:t>
      </w:r>
    </w:p>
    <w:p>
      <w:pPr>
        <w:pStyle w:val="ListParagraph"/>
        <w:numPr>
          <w:ilvl w:val="0"/>
          <w:numId w:val="5"/>
        </w:numPr>
        <w:jc w:val="both"/>
        <w:rPr>
          <w:rFonts w:cs="Arial"/>
        </w:rPr>
      </w:pPr>
      <w:r>
        <w:rPr>
          <w:rFonts w:cs="Arial"/>
        </w:rPr>
        <w:t>Jako problem wskazano trudną do zaktywizowania grupę, jaką są osoby bardzo długotrwale bezrobotne (nawet od początku lat dziewięćdziesiątych). Nie chcą oni podjąć zatrudnienia, a przez fakt długiego pozostawania bez pracy posiadają wiele deficytów. Nie są przystosowane do zmian technologicznych, jakie zaszły na rynku pracy. Ich powrót na rynek pracy w praktyce okazuje się niemożliwy.</w:t>
      </w:r>
    </w:p>
    <w:p>
      <w:pPr>
        <w:pStyle w:val="Normal"/>
        <w:spacing w:before="120" w:after="120"/>
        <w:jc w:val="both"/>
        <w:rPr>
          <w:rFonts w:cs="Arial"/>
          <w:b/>
          <w:b/>
        </w:rPr>
      </w:pPr>
      <w:r>
        <w:rPr>
          <w:rFonts w:cs="Arial"/>
          <w:b/>
        </w:rPr>
        <w:t>NAUKA I EDUKACJA</w:t>
      </w:r>
    </w:p>
    <w:p>
      <w:pPr>
        <w:pStyle w:val="ListParagraph"/>
        <w:numPr>
          <w:ilvl w:val="0"/>
          <w:numId w:val="3"/>
        </w:numPr>
        <w:jc w:val="both"/>
        <w:rPr>
          <w:rFonts w:cs="Arial"/>
        </w:rPr>
      </w:pPr>
      <w:r>
        <w:rPr>
          <w:rFonts w:cs="Arial"/>
        </w:rPr>
        <w:t>Za deficyt uznano niedostosowanie kształcenia zawodowego do potrzeb lokalnego rynku pracy i to pomimo stwarzanych możliwości w ramach projektu „Modernizacja kształcenia zawodowego w Powiecie Nowosolskim”. Jedną z przyczyn jest niskie zainteresowanie uczniów kształceniem zawodowym.</w:t>
      </w:r>
    </w:p>
    <w:p>
      <w:pPr>
        <w:pStyle w:val="ListParagraph"/>
        <w:numPr>
          <w:ilvl w:val="0"/>
          <w:numId w:val="3"/>
        </w:numPr>
        <w:jc w:val="both"/>
        <w:rPr>
          <w:rFonts w:cs="Arial"/>
        </w:rPr>
      </w:pPr>
      <w:r>
        <w:rPr>
          <w:rFonts w:cs="Arial"/>
        </w:rPr>
        <w:t xml:space="preserve">Problem jest fakt, że nie wszystkie dzieci z list rezerwowych dostają się do przedszkola. Zdaniem przedstawicieli gminy, na jej terenie występuje zjawisko nielegalnego pomieszkiwania, którego skala jest trudna do określenia. Są osoby, które mieszkają i pracują w Otyniu, a z różnych przyczyn nie są zameldowani.  Mowa o kwestii kilkudziesięciu osób, zwykle młodych, którzy mają dzieci.  </w:t>
      </w:r>
    </w:p>
    <w:p>
      <w:pPr>
        <w:pStyle w:val="ListParagraph"/>
        <w:numPr>
          <w:ilvl w:val="0"/>
          <w:numId w:val="3"/>
        </w:numPr>
        <w:jc w:val="both"/>
        <w:rPr>
          <w:rFonts w:cs="Arial"/>
        </w:rPr>
      </w:pPr>
      <w:r>
        <w:rPr>
          <w:rFonts w:cs="Arial"/>
        </w:rPr>
        <w:t>Potencjałem jest żłobek Baśniowa Kraina w Otyniu. Liczba miejsc wynosi 60 i jest wystarczająca zdaniem uczestników konsultacji.</w:t>
      </w:r>
    </w:p>
    <w:p>
      <w:pPr>
        <w:pStyle w:val="ListParagraph"/>
        <w:numPr>
          <w:ilvl w:val="0"/>
          <w:numId w:val="3"/>
        </w:numPr>
        <w:jc w:val="both"/>
        <w:rPr>
          <w:rFonts w:cs="Arial"/>
          <w:b/>
          <w:b/>
        </w:rPr>
      </w:pPr>
      <w:r>
        <w:rPr>
          <w:rFonts w:cs="Arial"/>
        </w:rPr>
        <w:t>Istnieje potrzeba rozszerzania oferty przedszkolnej i szkolnej ze względu na wzrastającą liczbę młodych osób w Otyniu, którzy się budują na terenie gminy i będą poszukiwać miejsc w szkołach i przedszkolach dla swoich dzieci.</w:t>
      </w:r>
    </w:p>
    <w:p>
      <w:pPr>
        <w:pStyle w:val="Normal"/>
        <w:rPr>
          <w:rFonts w:cs="Arial"/>
          <w:b/>
          <w:b/>
        </w:rPr>
      </w:pPr>
      <w:r>
        <w:rPr>
          <w:rFonts w:cs="Arial"/>
          <w:b/>
        </w:rPr>
        <w:t>POLITYKA SPOŁECZNA</w:t>
      </w:r>
    </w:p>
    <w:p>
      <w:pPr>
        <w:pStyle w:val="ListParagraph"/>
        <w:numPr>
          <w:ilvl w:val="0"/>
          <w:numId w:val="8"/>
        </w:numPr>
        <w:jc w:val="both"/>
        <w:rPr>
          <w:rFonts w:cs="Arial"/>
          <w:b/>
          <w:b/>
        </w:rPr>
      </w:pPr>
      <w:r>
        <w:rPr>
          <w:rFonts w:cs="Arial"/>
        </w:rPr>
        <w:t>Za problem uznano grupę klientów instytucji społecznych trudnych do zaktywizowania, usamodzielnienia z powodu ich długotrwałego bezrobocia.</w:t>
      </w:r>
    </w:p>
    <w:p>
      <w:pPr>
        <w:pStyle w:val="ListParagraph"/>
        <w:numPr>
          <w:ilvl w:val="0"/>
          <w:numId w:val="9"/>
        </w:numPr>
        <w:jc w:val="both"/>
        <w:rPr>
          <w:rFonts w:cs="Arial"/>
        </w:rPr>
      </w:pPr>
      <w:r>
        <w:rPr>
          <w:rFonts w:cs="Arial"/>
        </w:rPr>
        <w:t>Potencjałem jest fakt zmniejszania się liczby osób korzystających z pomocy społecznej. Dla porównania, podczas gdy w 2012 roku na zasiłki okresowe w grudniu 2012 wydano 32 tys. zł, obecnie jest to kwota 6 tys. zł. W OPS nastąpił bardzo duży odpływ klientów w momencie, kiedy przyznano świadczenie 500+. Teraz OPS bardziej skupia się na grupie tych osób, które są poza rynkiem pracy i na osobach starszych, niż na rodzinach z dziećmi, które same rezygnują ze świadczeń pomocowych.</w:t>
      </w:r>
    </w:p>
    <w:p>
      <w:pPr>
        <w:pStyle w:val="ListParagraph"/>
        <w:numPr>
          <w:ilvl w:val="0"/>
          <w:numId w:val="9"/>
        </w:numPr>
        <w:jc w:val="both"/>
        <w:rPr>
          <w:rFonts w:cs="Arial"/>
        </w:rPr>
      </w:pPr>
      <w:r>
        <w:rPr>
          <w:rFonts w:cs="Arial"/>
        </w:rPr>
        <w:t xml:space="preserve">Znacznym problem jest nałożony na gminę obowiązek finansowania domów pomocy społecznej. Mimo, że Otyń jest gminą, gdzie członkowie rodzin przeważnie opiekują się osobami starszymi, jednak nie da się uniknąć sytuacji, w których trzeba kogoś umieścić w DPS. Koszty pobytu osoby w DPS są bardzo wysokie (koszt 3-5 tys. od osoby). Gmina ponosi te koszty, ponieważ do DPS kierowane są przede wszystkim osoby samotne. Dopóki jest to możliwe dana osoba jest utrzymywana w środowisku. Zdarza się, że gmina ponosi koszty za osoby, które funkcjonują w DPS np. 10 lat. </w:t>
      </w:r>
    </w:p>
    <w:p>
      <w:pPr>
        <w:pStyle w:val="ListParagraph"/>
        <w:numPr>
          <w:ilvl w:val="0"/>
          <w:numId w:val="9"/>
        </w:numPr>
        <w:jc w:val="both"/>
        <w:rPr>
          <w:rFonts w:cs="Arial"/>
        </w:rPr>
      </w:pPr>
      <w:r>
        <w:rPr>
          <w:rFonts w:cs="Arial"/>
        </w:rPr>
        <w:t>Potencjałem gminy jest funkcjonujący na jej terenie Dzienny Dom Opieki (DDO), finansowany z Regionalnego Programu Operacyjnego Województwa Lubuskiego. Projekt jest przewidziany na 18 miesięcy. Z usług dziennego pobytu korzysta obecnie 30 seniorów. DDO ma pozytywny wpływ na seniorów, aktywizuje ich, zachęca do wyjścia z domu. Osoby starsze mają możliwość przebywania wśród swoich rówieśników.</w:t>
      </w:r>
    </w:p>
    <w:p>
      <w:pPr>
        <w:pStyle w:val="ListParagraph"/>
        <w:numPr>
          <w:ilvl w:val="0"/>
          <w:numId w:val="9"/>
        </w:numPr>
        <w:jc w:val="both"/>
        <w:rPr>
          <w:rFonts w:cs="Arial"/>
        </w:rPr>
      </w:pPr>
      <w:r>
        <w:rPr>
          <w:rFonts w:cs="Arial"/>
        </w:rPr>
        <w:t>DDO jest przewidziany jednak dla osób w miarę samodzielnych. Potrzebna jest natomiast placówka pośrednia między Dziennym Domem Opieki, a Domem Pomocy Społecznej. Brakuje również hospicjum.</w:t>
      </w:r>
    </w:p>
    <w:p>
      <w:pPr>
        <w:pStyle w:val="ListParagraph"/>
        <w:numPr>
          <w:ilvl w:val="0"/>
          <w:numId w:val="9"/>
        </w:numPr>
        <w:jc w:val="both"/>
        <w:rPr>
          <w:rFonts w:cs="Arial"/>
        </w:rPr>
      </w:pPr>
      <w:r>
        <w:rPr>
          <w:rFonts w:cs="Arial"/>
        </w:rPr>
        <w:t>Przedstawiciele OPS zwrócili również uwagę na potrzebę utworzenia placówek dla dzieci i młodzieży, takich jak świetlice socjoterapeutyczne, wychowawcze (nie ma tego typu placówek w ogóle w Otyniu).</w:t>
      </w:r>
    </w:p>
    <w:p>
      <w:pPr>
        <w:pStyle w:val="ListParagraph"/>
        <w:numPr>
          <w:ilvl w:val="0"/>
          <w:numId w:val="9"/>
        </w:numPr>
        <w:spacing w:before="120" w:after="120"/>
        <w:contextualSpacing/>
        <w:jc w:val="both"/>
        <w:rPr>
          <w:rFonts w:cs="Arial"/>
          <w:b/>
          <w:b/>
        </w:rPr>
      </w:pPr>
      <w:r>
        <w:rPr>
          <w:rFonts w:cs="Arial"/>
        </w:rPr>
        <w:t xml:space="preserve">Za potencjał uznano projekt „Centrum Integracji Społecznej”, w którym bierze udział 10 osób (2 osoby w drugiej edycji i 8 osób w 3 edycji). </w:t>
      </w:r>
    </w:p>
    <w:p>
      <w:pPr>
        <w:pStyle w:val="Normal"/>
        <w:spacing w:before="120" w:after="120"/>
        <w:jc w:val="both"/>
        <w:rPr>
          <w:rFonts w:cs="Arial"/>
          <w:b/>
          <w:b/>
        </w:rPr>
      </w:pPr>
      <w:r>
        <w:rPr>
          <w:rFonts w:cs="Arial"/>
          <w:b/>
        </w:rPr>
        <w:t>TRANSPORT I KOMUNIKACJA</w:t>
      </w:r>
    </w:p>
    <w:p>
      <w:pPr>
        <w:pStyle w:val="ListParagraph"/>
        <w:numPr>
          <w:ilvl w:val="0"/>
          <w:numId w:val="3"/>
        </w:numPr>
        <w:spacing w:before="120" w:after="120"/>
        <w:contextualSpacing/>
        <w:jc w:val="both"/>
        <w:rPr>
          <w:rFonts w:cs="Arial"/>
          <w:b/>
          <w:b/>
        </w:rPr>
      </w:pPr>
      <w:r>
        <w:rPr>
          <w:rFonts w:cs="Arial"/>
        </w:rPr>
        <w:t xml:space="preserve">Jako potrzebę wskazano powiązanie dróg gminnych i powiatowych z drogami wojewódzkimi i krajowymi oraz połączenie komunikacyjne Lubuskiego Trójmiasta (np. poprzez Szybką Kolej Aglomeracyjną) wraz z opracowaniem zintegrowanego biletu na terenie Lubuskiego Trójmiasta. </w:t>
      </w:r>
    </w:p>
    <w:p>
      <w:pPr>
        <w:pStyle w:val="ListParagraph"/>
        <w:numPr>
          <w:ilvl w:val="0"/>
          <w:numId w:val="3"/>
        </w:numPr>
        <w:spacing w:before="120" w:after="120"/>
        <w:contextualSpacing/>
        <w:jc w:val="both"/>
        <w:rPr>
          <w:rFonts w:cs="Arial"/>
          <w:b/>
          <w:b/>
        </w:rPr>
      </w:pPr>
      <w:r>
        <w:rPr>
          <w:rFonts w:cs="Arial"/>
        </w:rPr>
        <w:t>Potencjałem jest dobre skomunikowanie gminy Otyń z Nową Solą i Zieloną Górą.</w:t>
      </w:r>
    </w:p>
    <w:p>
      <w:pPr>
        <w:pStyle w:val="Normal"/>
        <w:rPr>
          <w:rFonts w:cs="Arial"/>
          <w:b/>
          <w:b/>
        </w:rPr>
      </w:pPr>
      <w:r>
        <w:rPr>
          <w:rFonts w:cs="Arial"/>
          <w:b/>
        </w:rPr>
        <w:t>TURYSTYKA</w:t>
      </w:r>
    </w:p>
    <w:p>
      <w:pPr>
        <w:pStyle w:val="ListParagraph"/>
        <w:numPr>
          <w:ilvl w:val="0"/>
          <w:numId w:val="5"/>
        </w:numPr>
        <w:jc w:val="both"/>
        <w:rPr>
          <w:rFonts w:cs="Arial"/>
        </w:rPr>
      </w:pPr>
      <w:r>
        <w:rPr>
          <w:rFonts w:cs="Arial"/>
        </w:rPr>
        <w:t>Gmina posiada potencjał do rozwoju turystyki. Jej atutem jest duża lesistość przy niskiej bagnistości terenu; częściowo rolniczy charakter sprzyjający rozwojowi agroturystyki, obecność doliny Odry, a także takie elementy dziedzictwa jak ruiny klasztoru w Otyniu, Sanktuarium w Otyniu.</w:t>
      </w:r>
    </w:p>
    <w:p>
      <w:pPr>
        <w:pStyle w:val="ListParagraph"/>
        <w:numPr>
          <w:ilvl w:val="0"/>
          <w:numId w:val="5"/>
        </w:numPr>
        <w:jc w:val="both"/>
        <w:rPr>
          <w:rFonts w:cs="Arial"/>
        </w:rPr>
      </w:pPr>
      <w:r>
        <w:rPr>
          <w:rFonts w:cs="Arial"/>
        </w:rPr>
        <w:t>Potencjał do rozwoju turystyki stwarza również ścieżka rowerowa biegnąca przez Otyń (Nowa Sól - Otyń - Stany (most nad Odrą) - Lipiny - Lubięcin - Konotop - Kolsko - 30 kilometrów).</w:t>
      </w:r>
    </w:p>
    <w:p>
      <w:pPr>
        <w:pStyle w:val="ListParagraph"/>
        <w:numPr>
          <w:ilvl w:val="0"/>
          <w:numId w:val="5"/>
        </w:numPr>
        <w:rPr>
          <w:rFonts w:cs="Arial"/>
        </w:rPr>
      </w:pPr>
      <w:r>
        <w:rPr>
          <w:rFonts w:cs="Arial"/>
        </w:rPr>
        <w:t>Problemem jest brak promocji np. lasów, czy istniejących rezerwatów w celach turystycznych.</w:t>
      </w:r>
    </w:p>
    <w:p>
      <w:pPr>
        <w:pStyle w:val="Normal"/>
        <w:rPr>
          <w:rFonts w:cs="Arial"/>
          <w:b/>
          <w:b/>
        </w:rPr>
      </w:pPr>
      <w:r>
        <w:rPr>
          <w:rFonts w:cs="Arial"/>
          <w:b/>
        </w:rPr>
        <w:t>KULTURA I SPORT</w:t>
      </w:r>
    </w:p>
    <w:p>
      <w:pPr>
        <w:pStyle w:val="ListParagraph"/>
        <w:numPr>
          <w:ilvl w:val="0"/>
          <w:numId w:val="8"/>
        </w:numPr>
        <w:jc w:val="both"/>
        <w:rPr>
          <w:rFonts w:cs="Arial"/>
        </w:rPr>
      </w:pPr>
      <w:r>
        <w:rPr>
          <w:rFonts w:cs="Arial"/>
        </w:rPr>
        <w:t>Obecnie problemem są niekorzystne warunki lokalowe Gminnego Centrum Kultury. W dotychczasowej siedzibie - w kamienicy przy głównej ulicy Otynia brakuje już miejsca na pracownie artystyczne i koncerty.</w:t>
      </w:r>
    </w:p>
    <w:p>
      <w:pPr>
        <w:pStyle w:val="ListParagraph"/>
        <w:numPr>
          <w:ilvl w:val="0"/>
          <w:numId w:val="8"/>
        </w:numPr>
        <w:jc w:val="both"/>
        <w:rPr>
          <w:rFonts w:cs="Arial"/>
        </w:rPr>
      </w:pPr>
      <w:r>
        <w:rPr>
          <w:rFonts w:cs="Arial"/>
        </w:rPr>
        <w:t>Potencjałem jest zmiana siedziby GCK do wyremontowanego dawnego dworca kolejowego (Stacja Kultura).  Do stacji zostanie dobudowana sala koncertowa. Dzięki temu będą się tu mogły odbywać najważniejsze wydarzenia kulturalne w gminie. Korzystna jest również sama lokalizacja Stacji, położona przy ścieżce rowerowej. Budowa Stacji jest dofinansowana z Polskiego Ładu.</w:t>
      </w:r>
    </w:p>
    <w:p>
      <w:pPr>
        <w:pStyle w:val="ListParagraph"/>
        <w:numPr>
          <w:ilvl w:val="0"/>
          <w:numId w:val="8"/>
        </w:numPr>
        <w:jc w:val="both"/>
        <w:rPr>
          <w:rFonts w:cs="Arial"/>
        </w:rPr>
      </w:pPr>
      <w:r>
        <w:rPr>
          <w:rFonts w:cs="Arial"/>
        </w:rPr>
        <w:t>Potencjałem jest względnie zróżnicowana i atrakcyjna oferta kulturalna, dostosowana do potrzeb małej gminy, jaką jest Otyń (gmina gości wartościowe osoby ze świata kultury, świata artystycznego). Około 200 dzieci uczęszcza do GCK na zajęcia artystyczne. Otyń jest rozpoznawalny również w Polsce, jako miejsce koncertów piosenki poetyckiej (po oddaniu do użytku Stacji są pomysły by tworzyć przeglądy piosenki poetyckiej).</w:t>
      </w:r>
    </w:p>
    <w:p>
      <w:pPr>
        <w:pStyle w:val="ListParagraph"/>
        <w:numPr>
          <w:ilvl w:val="0"/>
          <w:numId w:val="8"/>
        </w:numPr>
        <w:jc w:val="both"/>
        <w:rPr>
          <w:rFonts w:cs="Arial"/>
        </w:rPr>
      </w:pPr>
      <w:r>
        <w:rPr>
          <w:rFonts w:cs="Arial"/>
        </w:rPr>
        <w:t xml:space="preserve">Potencjałem jest również zainteresowanie mieszkańców, ale również i turystów ofertą kulturalną (koncertową, kabaretową) Otynia. Z kolei mieszkańcy Otynia, dzięki korzystnemu połączeniu z Zieloną Górą i Nowej Soli, korzystają z oferty kulturalnej większych ośrodków. </w:t>
      </w:r>
    </w:p>
    <w:p>
      <w:pPr>
        <w:pStyle w:val="ListParagraph"/>
        <w:numPr>
          <w:ilvl w:val="0"/>
          <w:numId w:val="8"/>
        </w:numPr>
        <w:jc w:val="both"/>
        <w:rPr>
          <w:rFonts w:cs="Arial"/>
          <w:b/>
          <w:b/>
        </w:rPr>
      </w:pPr>
      <w:r>
        <w:rPr>
          <w:rFonts w:cs="Arial"/>
        </w:rPr>
        <w:t xml:space="preserve">W zakresie infrastruktury sportowej uczestnicy konsultacji zwrócili uwagę na odczuwalny brak hali sportowej i profesjonalnego, pełnowymiarowego boiska. </w:t>
      </w:r>
    </w:p>
    <w:p>
      <w:pPr>
        <w:pStyle w:val="Normal"/>
        <w:rPr/>
      </w:pPr>
      <w:r>
        <w:rPr>
          <w:rFonts w:cs="Arial"/>
          <w:b/>
        </w:rPr>
        <w:t>TOŻSAMOŚĆ</w:t>
      </w:r>
      <w:r>
        <w:rPr>
          <w:rFonts w:cs="Arial"/>
          <w:b/>
        </w:rPr>
        <w:t xml:space="preserve"> LOKALNA i AKTYWNOŚĆ SPOŁECZNA</w:t>
      </w:r>
    </w:p>
    <w:p>
      <w:pPr>
        <w:pStyle w:val="ListParagraph"/>
        <w:numPr>
          <w:ilvl w:val="0"/>
          <w:numId w:val="7"/>
        </w:numPr>
        <w:spacing w:before="120" w:after="120"/>
        <w:contextualSpacing/>
        <w:jc w:val="both"/>
        <w:rPr>
          <w:rFonts w:cs="Arial"/>
        </w:rPr>
      </w:pPr>
      <w:r>
        <w:rPr>
          <w:rFonts w:cs="Arial"/>
        </w:rPr>
        <w:t>Problemem jest niski poziom aktywności społecznej, wynikający z napływowego charakteru znacznej części mieszkańców. Trudno mówić nawet o integracji sąsiedzkiej.</w:t>
      </w:r>
    </w:p>
    <w:p>
      <w:pPr>
        <w:pStyle w:val="ListParagraph"/>
        <w:numPr>
          <w:ilvl w:val="0"/>
          <w:numId w:val="7"/>
        </w:numPr>
        <w:spacing w:before="120" w:after="120"/>
        <w:contextualSpacing/>
        <w:jc w:val="both"/>
        <w:rPr>
          <w:rFonts w:cs="Arial"/>
        </w:rPr>
      </w:pPr>
      <w:r>
        <w:rPr>
          <w:rFonts w:cs="Arial"/>
        </w:rPr>
        <w:t>Zaznaczono, że Otyń raczej nie posiada tradycji winiarskich takich jak np. Zielona Góra (w gminie Otyń jest tylko 1 winnica).</w:t>
      </w:r>
    </w:p>
    <w:p>
      <w:pPr>
        <w:pStyle w:val="ListParagraph"/>
        <w:numPr>
          <w:ilvl w:val="0"/>
          <w:numId w:val="7"/>
        </w:numPr>
        <w:spacing w:before="120" w:after="120"/>
        <w:contextualSpacing/>
        <w:jc w:val="both"/>
        <w:rPr>
          <w:rFonts w:cs="Arial"/>
        </w:rPr>
      </w:pPr>
      <w:r>
        <w:rPr>
          <w:rFonts w:cs="Arial"/>
        </w:rPr>
        <w:t xml:space="preserve">Deficytem jest niski poziom tożsamości lokalnej, brak jest folkloru, kultury czy nawet potrawy lokalnej. </w:t>
      </w:r>
    </w:p>
    <w:p>
      <w:pPr>
        <w:pStyle w:val="ListParagraph"/>
        <w:numPr>
          <w:ilvl w:val="0"/>
          <w:numId w:val="7"/>
        </w:numPr>
        <w:spacing w:before="120" w:after="120"/>
        <w:contextualSpacing/>
        <w:jc w:val="both"/>
        <w:rPr>
          <w:rFonts w:cs="Arial"/>
        </w:rPr>
      </w:pPr>
      <w:r>
        <w:rPr>
          <w:rFonts w:cs="Arial"/>
        </w:rPr>
        <w:t>Problemem jest fakt, że podejmowane próby kształtowania tożsamości lokalnej kończyły się niepowodzeniem, nie są kontynuowane takie działania jak Grzybobranie w Niedoradzu, czy Jarmark pod Kasztami w Otyniu. Oba wydarzenia kulturalne, które odwoływały się również do tradycji miały szansę integrować społeczność lokalną i stać się rozpoznawalne poza gminą.</w:t>
      </w:r>
    </w:p>
    <w:p>
      <w:pPr>
        <w:pStyle w:val="ListParagraph"/>
        <w:numPr>
          <w:ilvl w:val="0"/>
          <w:numId w:val="6"/>
        </w:numPr>
        <w:spacing w:before="120" w:after="120"/>
        <w:contextualSpacing/>
        <w:jc w:val="both"/>
        <w:rPr>
          <w:rFonts w:cs="Arial"/>
        </w:rPr>
      </w:pPr>
      <w:r>
        <w:rPr>
          <w:rFonts w:cs="Arial"/>
        </w:rPr>
        <w:t>Za deficyt uznano niską aktywność społeczną przejawiającą się w niskiej liczbie działań podejmowanych przez organizacje pozarządowe oraz niską liczbę wolontariuszy (lub nawet ich brak). Przedstawiciele gminy nie potrafili odpowiedzieć czy na jej terenie działają wolontariusze, przytoczyli jedynie przykład, że był problem ze znalezieniem osób chętnych do pomocy np. osobom starszym podczas pandemii. Funkcjonuje wprawdzie drużyna harcerska (hufiec Nowa Sól), ale jej działania nie są widoczne.</w:t>
      </w:r>
    </w:p>
    <w:p>
      <w:pPr>
        <w:pStyle w:val="ListParagraph"/>
        <w:numPr>
          <w:ilvl w:val="0"/>
          <w:numId w:val="6"/>
        </w:numPr>
        <w:spacing w:before="120" w:after="120"/>
        <w:contextualSpacing/>
        <w:jc w:val="both"/>
        <w:rPr>
          <w:rFonts w:cs="Arial"/>
        </w:rPr>
      </w:pPr>
      <w:r>
        <w:rPr>
          <w:rFonts w:cs="Arial"/>
        </w:rPr>
        <w:t xml:space="preserve">Zdaniem uczestników konsultacji za deficyt można uznać brak lokalnych liderów, animatorów społeczności lokalnej, którzy aktywizowaliby mieszkańców. </w:t>
      </w:r>
    </w:p>
    <w:p>
      <w:pPr>
        <w:pStyle w:val="ListParagraph"/>
        <w:numPr>
          <w:ilvl w:val="0"/>
          <w:numId w:val="6"/>
        </w:numPr>
        <w:spacing w:before="120" w:after="120"/>
        <w:contextualSpacing/>
        <w:jc w:val="both"/>
        <w:rPr>
          <w:rFonts w:cs="Arial"/>
        </w:rPr>
      </w:pPr>
      <w:r>
        <w:rPr>
          <w:rFonts w:cs="Arial"/>
        </w:rPr>
        <w:t>Istnieje potrzeba aktywizacji mieszkańców, szczególnie osób młodych np. do Koła Gospodyń Wiejskich, czy rad sołeckich.</w:t>
      </w:r>
    </w:p>
    <w:p>
      <w:pPr>
        <w:pStyle w:val="ListParagraph"/>
        <w:numPr>
          <w:ilvl w:val="0"/>
          <w:numId w:val="6"/>
        </w:numPr>
        <w:spacing w:before="120" w:after="120"/>
        <w:contextualSpacing/>
        <w:jc w:val="both"/>
        <w:rPr>
          <w:rFonts w:cs="Arial"/>
        </w:rPr>
      </w:pPr>
      <w:r>
        <w:rPr>
          <w:rFonts w:cs="Arial"/>
        </w:rPr>
        <w:t>Deficytem jest budżet obywatelski, który ma „szczątkowy” charakter, a fundusz sołecki przeznaczany jest głównie na remonty.</w:t>
      </w:r>
    </w:p>
    <w:p>
      <w:pPr>
        <w:pStyle w:val="ListParagraph"/>
        <w:spacing w:before="120" w:after="120"/>
        <w:contextualSpacing/>
        <w:jc w:val="both"/>
        <w:rPr>
          <w:rFonts w:cs="Arial"/>
        </w:rPr>
      </w:pPr>
      <w:r>
        <w:rPr>
          <w:rFonts w:cs="Arial"/>
        </w:rPr>
      </w:r>
    </w:p>
    <w:p>
      <w:pPr>
        <w:pStyle w:val="Normal"/>
        <w:spacing w:before="120" w:after="120"/>
        <w:jc w:val="both"/>
        <w:rPr>
          <w:rFonts w:cs="Arial"/>
          <w:b/>
          <w:b/>
        </w:rPr>
      </w:pPr>
      <w:r>
        <w:rPr>
          <w:rFonts w:cs="Arial"/>
          <w:b/>
        </w:rPr>
        <w:t>OCHRONA ŚRODOWISKA</w:t>
      </w:r>
    </w:p>
    <w:p>
      <w:pPr>
        <w:pStyle w:val="ListParagraph"/>
        <w:numPr>
          <w:ilvl w:val="0"/>
          <w:numId w:val="11"/>
        </w:numPr>
        <w:spacing w:before="120" w:after="120"/>
        <w:contextualSpacing/>
        <w:jc w:val="both"/>
        <w:rPr>
          <w:rFonts w:cs="Arial"/>
        </w:rPr>
      </w:pPr>
      <w:bookmarkStart w:id="0" w:name="_GoBack"/>
      <w:bookmarkEnd w:id="0"/>
      <w:r>
        <w:rPr>
          <w:rFonts w:cs="Arial"/>
        </w:rPr>
        <w:t>Jednym z ważniejszych problemów do rozwiązania na terenie gminy jest utylizacja wysypiska śmieci w Bobrownikach oraz likwidacja bomby ekologicznej w Zakęciu, pozostałości po firmie DPV SERVICE.</w:t>
      </w:r>
    </w:p>
    <w:p>
      <w:pPr>
        <w:pStyle w:val="ListParagraph"/>
        <w:numPr>
          <w:ilvl w:val="0"/>
          <w:numId w:val="11"/>
        </w:numPr>
        <w:jc w:val="both"/>
        <w:rPr>
          <w:rFonts w:cs="Arial"/>
        </w:rPr>
      </w:pPr>
      <w:r>
        <w:rPr>
          <w:rFonts w:cs="Arial"/>
        </w:rPr>
        <w:t>Istnieją deficyty w gospodarce ściekowej, nie są nią objęci wszyscy mieszkańcy. Jeszcze nie wszystkie miejscowości są skanalizowane. Jak mówili uczestnicy konsultacji kanalizacja w Niedoradzu jest w planach, jeśli uda się pozyskać dofinansowanie. Możliwe jest jeszcze skanalizowanie Bobrownik. Pozostałe miejscowości ze względu na odległość od najbliższej oczyszczalni ścieków i brak możliwości budowy własnej oczyszczalni ścieków – nie wchodzą w grę.</w:t>
      </w:r>
    </w:p>
    <w:p>
      <w:pPr>
        <w:pStyle w:val="ListParagraph"/>
        <w:numPr>
          <w:ilvl w:val="0"/>
          <w:numId w:val="11"/>
        </w:numPr>
        <w:spacing w:before="120" w:after="120"/>
        <w:contextualSpacing/>
        <w:jc w:val="both"/>
        <w:rPr>
          <w:rFonts w:cs="Arial"/>
        </w:rPr>
      </w:pPr>
      <w:r>
        <w:rPr>
          <w:rFonts w:cs="Arial"/>
        </w:rPr>
        <w:t>Problemem jest zanieczyszczenie powietrza w Otyniu powodowane m.in. paleniem w kopciuchach. Jednocześnie w gminie nie ma czujników mierzących stopień zanieczyszczenia powietrza.</w:t>
      </w:r>
    </w:p>
    <w:p>
      <w:pPr>
        <w:pStyle w:val="ListParagraph"/>
        <w:numPr>
          <w:ilvl w:val="0"/>
          <w:numId w:val="11"/>
        </w:numPr>
        <w:spacing w:before="120" w:after="120"/>
        <w:contextualSpacing/>
        <w:jc w:val="both"/>
        <w:rPr>
          <w:rFonts w:cs="Arial"/>
          <w:b/>
          <w:b/>
        </w:rPr>
      </w:pPr>
      <w:r>
        <w:rPr>
          <w:rFonts w:cs="Arial"/>
        </w:rPr>
        <w:t xml:space="preserve">Po powodzi w 1997 roku zostały sporządzone mapy zagrożenia powodziowego na znacznym obszarze gminy. Jednak na wniosek samorządu obszar zagrożenia powodziowego został zmniejszony, ze względu na fakt, że wiązał się z wieloma zakazami odnośnie zabudowy. </w:t>
      </w:r>
    </w:p>
    <w:p>
      <w:pPr>
        <w:pStyle w:val="ListParagraph"/>
        <w:numPr>
          <w:ilvl w:val="0"/>
          <w:numId w:val="11"/>
        </w:numPr>
        <w:spacing w:before="120" w:after="120"/>
        <w:contextualSpacing/>
        <w:jc w:val="both"/>
        <w:rPr>
          <w:rFonts w:cs="Arial"/>
          <w:b/>
          <w:b/>
        </w:rPr>
      </w:pPr>
      <w:r>
        <w:rPr>
          <w:rFonts w:cs="Arial"/>
        </w:rPr>
        <w:t>Przedstawiciele gminy zwrócili również uwagę na niespójność przepisów w zakresie możliwości blokowania budowy farm fotowoltaicznych w sytuacjach newralgicznych, np., gdy firmy wnioskują o budowę tego typu farmy niemal w centrum miejscowości (np. farma 10 ha o mocy 30, 40 mwh).</w:t>
      </w:r>
    </w:p>
    <w:p>
      <w:pPr>
        <w:pStyle w:val="ListParagraph"/>
        <w:numPr>
          <w:ilvl w:val="0"/>
          <w:numId w:val="10"/>
        </w:numPr>
        <w:jc w:val="both"/>
        <w:rPr>
          <w:rFonts w:cs="Arial"/>
        </w:rPr>
      </w:pPr>
      <w:r>
        <w:rPr>
          <w:rFonts w:cs="Arial"/>
        </w:rPr>
        <w:t>Gmina ma niewielki procent pokrycia planami miejscowymi (około 10%), a te które istnieją dotyczą głównie miejscowości zwartej zabudowy. Należy wziąć jednak pod uwagę, że blisko 60% stanowią lasy. Niedoradz posiada plany miejscowe tylko częściowe, a Bobrowniki nie posiadają w ogóle planów miejscowych. Plany miejscowe są głównie przeznaczane pod zabudowę mieszkaniową. Gmina nie ma żadnych obszarów przeznaczonych pod budowę farm fotowoltaicznych w planach miejscowych.</w:t>
      </w:r>
    </w:p>
    <w:p>
      <w:pPr>
        <w:pStyle w:val="ListParagraph"/>
        <w:spacing w:before="120" w:after="120"/>
        <w:contextualSpacing/>
        <w:jc w:val="both"/>
        <w:rPr>
          <w:rFonts w:cs="Arial"/>
          <w:b/>
          <w:b/>
        </w:rPr>
      </w:pPr>
      <w:r>
        <w:rPr>
          <w:rFonts w:cs="Arial"/>
          <w:b/>
        </w:rPr>
      </w:r>
    </w:p>
    <w:p>
      <w:pPr>
        <w:pStyle w:val="ListParagraph"/>
        <w:numPr>
          <w:ilvl w:val="0"/>
          <w:numId w:val="1"/>
        </w:numPr>
        <w:spacing w:before="0" w:after="0"/>
        <w:contextualSpacing/>
        <w:rPr>
          <w:rFonts w:cs="Arial"/>
          <w:b/>
          <w:b/>
        </w:rPr>
      </w:pPr>
      <w:r>
        <w:rPr>
          <w:rFonts w:cs="Arial"/>
          <w:b/>
        </w:rPr>
        <w:t>Najważniejsze wnioski</w:t>
      </w:r>
    </w:p>
    <w:p>
      <w:pPr>
        <w:pStyle w:val="Normal"/>
        <w:spacing w:before="120" w:after="120"/>
        <w:jc w:val="both"/>
        <w:rPr>
          <w:rFonts w:cs="Arial"/>
        </w:rPr>
      </w:pPr>
      <w:r>
        <w:rPr>
          <w:rFonts w:cs="Arial"/>
        </w:rPr>
        <w:t>Analiza zidentyfikowanych przez uczestników konsultacji społecznych problemów, deficytów, potrzeb i potencjałów tworzy podstawę do rekomendacji podjęcia poniższych działań</w:t>
      </w:r>
    </w:p>
    <w:p>
      <w:pPr>
        <w:pStyle w:val="ListParagraph"/>
        <w:numPr>
          <w:ilvl w:val="0"/>
          <w:numId w:val="4"/>
        </w:numPr>
        <w:spacing w:before="120" w:after="120"/>
        <w:contextualSpacing/>
        <w:jc w:val="both"/>
        <w:rPr>
          <w:rFonts w:cs="Arial"/>
        </w:rPr>
      </w:pPr>
      <w:r>
        <w:rPr>
          <w:rFonts w:cs="Arial"/>
        </w:rPr>
        <w:t>Projektowanie polityki społecznej ze szczególnym uwzględnieniem sytuacji młodzieży (świetlice socjoterapeutyczne i wychowawcze) i seniorów (domy pomocy społecznej, hospicja).</w:t>
      </w:r>
    </w:p>
    <w:p>
      <w:pPr>
        <w:pStyle w:val="ListParagraph"/>
        <w:numPr>
          <w:ilvl w:val="0"/>
          <w:numId w:val="4"/>
        </w:numPr>
        <w:spacing w:before="120" w:after="120"/>
        <w:contextualSpacing/>
        <w:jc w:val="both"/>
        <w:rPr>
          <w:rFonts w:cs="Arial"/>
        </w:rPr>
      </w:pPr>
      <w:r>
        <w:rPr>
          <w:rFonts w:cs="Arial"/>
        </w:rPr>
        <w:t>Likwidacja tzw. bomb ekologicznych; rekultywacja obszarów zdegradowanych.</w:t>
      </w:r>
    </w:p>
    <w:p>
      <w:pPr>
        <w:pStyle w:val="ListParagraph"/>
        <w:numPr>
          <w:ilvl w:val="0"/>
          <w:numId w:val="4"/>
        </w:numPr>
        <w:spacing w:before="120" w:after="120"/>
        <w:contextualSpacing/>
        <w:jc w:val="both"/>
        <w:rPr>
          <w:rFonts w:cs="Arial"/>
        </w:rPr>
      </w:pPr>
      <w:r>
        <w:rPr>
          <w:rFonts w:cs="Arial"/>
        </w:rPr>
        <w:t>Ściślejsze powiązanie kształcenia zawodowego z rynkiem pracy, zachęcanie młodzieży do kształcenia zawodowego.</w:t>
      </w:r>
    </w:p>
    <w:p>
      <w:pPr>
        <w:pStyle w:val="ListParagraph"/>
        <w:numPr>
          <w:ilvl w:val="0"/>
          <w:numId w:val="4"/>
        </w:numPr>
        <w:spacing w:before="120" w:after="120"/>
        <w:contextualSpacing/>
        <w:jc w:val="both"/>
        <w:rPr>
          <w:rFonts w:cs="Arial"/>
          <w:b/>
          <w:b/>
        </w:rPr>
      </w:pPr>
      <w:r>
        <w:rPr>
          <w:rFonts w:cs="Arial"/>
        </w:rPr>
        <w:t xml:space="preserve">Skuteczna aktywizacja osób długotrwale bezrobotnych. </w:t>
      </w:r>
    </w:p>
    <w:p>
      <w:pPr>
        <w:pStyle w:val="ListParagraph"/>
        <w:numPr>
          <w:ilvl w:val="0"/>
          <w:numId w:val="4"/>
        </w:numPr>
        <w:spacing w:before="120" w:after="120"/>
        <w:contextualSpacing/>
        <w:jc w:val="both"/>
        <w:rPr>
          <w:rFonts w:cs="Arial"/>
          <w:b/>
          <w:b/>
        </w:rPr>
      </w:pPr>
      <w:r>
        <w:rPr>
          <w:rFonts w:cs="Arial"/>
        </w:rPr>
        <w:t>Rozwój aktywności społecznej, aktywizacja organizacji pozarządowych, seniorów, młodzieży.</w:t>
      </w:r>
    </w:p>
    <w:p>
      <w:pPr>
        <w:pStyle w:val="ListParagraph"/>
        <w:numPr>
          <w:ilvl w:val="0"/>
          <w:numId w:val="4"/>
        </w:numPr>
        <w:spacing w:before="120" w:after="120"/>
        <w:contextualSpacing/>
        <w:jc w:val="both"/>
        <w:rPr>
          <w:rFonts w:cs="Arial"/>
          <w:b/>
          <w:b/>
        </w:rPr>
      </w:pPr>
      <w:r>
        <w:rPr>
          <w:rFonts w:cs="Arial"/>
        </w:rPr>
        <w:t>Rozwój oferty szkół i przedszkoli, które powinny być przygotowane na zwiększające się liczbę mieszkańców.</w:t>
      </w:r>
    </w:p>
    <w:p>
      <w:pPr>
        <w:pStyle w:val="ListParagraph"/>
        <w:numPr>
          <w:ilvl w:val="0"/>
          <w:numId w:val="4"/>
        </w:numPr>
        <w:spacing w:before="120" w:after="120"/>
        <w:contextualSpacing/>
        <w:jc w:val="both"/>
        <w:rPr/>
      </w:pPr>
      <w:r>
        <w:rPr>
          <w:rFonts w:cs="Arial"/>
        </w:rPr>
        <w:t>Zwiększenie stopnia skanalizowania gminy.</w:t>
      </w:r>
    </w:p>
    <w:sectPr>
      <w:footerReference w:type="default" r:id="rId3"/>
      <w:type w:val="nextPage"/>
      <w:pgSz w:w="11906" w:h="16838"/>
      <w:pgMar w:left="1417" w:right="1417" w:header="0" w:top="1417" w:footer="708" w:bottom="1417"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ahoma">
    <w:charset w:val="ee"/>
    <w:family w:val="roman"/>
    <w:pitch w:val="variable"/>
  </w:font>
  <w:font w:name="Cambria">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467909178"/>
    </w:sdtPr>
    <w:sdtContent>
      <w:p>
        <w:pPr>
          <w:pStyle w:val="Stopka"/>
          <w:jc w:val="right"/>
          <w:rPr/>
        </w:pPr>
        <w:r>
          <w:rPr>
            <w:rFonts w:cs="Arial"/>
          </w:rPr>
          <w:t xml:space="preserve">Strona </w:t>
        </w:r>
        <w:r>
          <w:rPr>
            <w:rFonts w:cs="Arial"/>
            <w:b/>
            <w:bCs/>
            <w:szCs w:val="24"/>
          </w:rPr>
          <w:fldChar w:fldCharType="begin"/>
        </w:r>
        <w:r>
          <w:instrText> PAGE </w:instrText>
        </w:r>
        <w:r>
          <w:fldChar w:fldCharType="separate"/>
        </w:r>
        <w:r>
          <w:t>5</w:t>
        </w:r>
        <w:r>
          <w:fldChar w:fldCharType="end"/>
        </w:r>
        <w:r>
          <w:rPr>
            <w:rFonts w:cs="Arial"/>
          </w:rPr>
          <w:t xml:space="preserve"> z </w:t>
        </w:r>
        <w:r>
          <w:rPr>
            <w:rFonts w:cs="Arial"/>
            <w:b/>
            <w:bCs/>
            <w:szCs w:val="24"/>
          </w:rPr>
          <w:fldChar w:fldCharType="begin"/>
        </w:r>
        <w:r>
          <w:instrText> NUMPAGES </w:instrText>
        </w:r>
        <w:r>
          <w:fldChar w:fldCharType="separate"/>
        </w:r>
        <w:r>
          <w:t>6</w:t>
        </w:r>
        <w: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2aab"/>
    <w:pPr>
      <w:widowControl/>
      <w:bidi w:val="0"/>
      <w:spacing w:lineRule="auto" w:line="276" w:before="0" w:after="200"/>
      <w:jc w:val="left"/>
    </w:pPr>
    <w:rPr>
      <w:rFonts w:ascii="Arial" w:hAnsi="Arial" w:eastAsia="Calibri" w:cs="" w:cstheme="minorBidi" w:eastAsiaTheme="minorHAnsi"/>
      <w:color w:val="auto"/>
      <w:sz w:val="24"/>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a23b4b"/>
    <w:rPr>
      <w:rFonts w:ascii="Tahoma" w:hAnsi="Tahoma" w:cs="Tahoma"/>
      <w:sz w:val="16"/>
      <w:szCs w:val="16"/>
    </w:rPr>
  </w:style>
  <w:style w:type="character" w:styleId="Czeinternetowe">
    <w:name w:val="Łącze internetowe"/>
    <w:basedOn w:val="DefaultParagraphFont"/>
    <w:uiPriority w:val="99"/>
    <w:unhideWhenUsed/>
    <w:rsid w:val="00663c88"/>
    <w:rPr>
      <w:color w:val="0000FF"/>
      <w:u w:val="single"/>
    </w:rPr>
  </w:style>
  <w:style w:type="character" w:styleId="Annotationreference">
    <w:name w:val="annotation reference"/>
    <w:basedOn w:val="DefaultParagraphFont"/>
    <w:uiPriority w:val="99"/>
    <w:semiHidden/>
    <w:unhideWhenUsed/>
    <w:qFormat/>
    <w:rsid w:val="000b389e"/>
    <w:rPr>
      <w:sz w:val="16"/>
      <w:szCs w:val="16"/>
    </w:rPr>
  </w:style>
  <w:style w:type="character" w:styleId="TekstkomentarzaZnak" w:customStyle="1">
    <w:name w:val="Tekst komentarza Znak"/>
    <w:basedOn w:val="DefaultParagraphFont"/>
    <w:link w:val="Tekstkomentarza"/>
    <w:uiPriority w:val="99"/>
    <w:semiHidden/>
    <w:qFormat/>
    <w:rsid w:val="000b389e"/>
    <w:rPr>
      <w:sz w:val="20"/>
      <w:szCs w:val="20"/>
    </w:rPr>
  </w:style>
  <w:style w:type="character" w:styleId="TematkomentarzaZnak" w:customStyle="1">
    <w:name w:val="Temat komentarza Znak"/>
    <w:basedOn w:val="TekstkomentarzaZnak"/>
    <w:link w:val="Tematkomentarza"/>
    <w:uiPriority w:val="99"/>
    <w:semiHidden/>
    <w:qFormat/>
    <w:rsid w:val="000b389e"/>
    <w:rPr>
      <w:b/>
      <w:bCs/>
      <w:sz w:val="20"/>
      <w:szCs w:val="20"/>
    </w:rPr>
  </w:style>
  <w:style w:type="character" w:styleId="TytuZnak" w:customStyle="1">
    <w:name w:val="Tytuł Znak"/>
    <w:basedOn w:val="DefaultParagraphFont"/>
    <w:link w:val="Tytu"/>
    <w:uiPriority w:val="10"/>
    <w:qFormat/>
    <w:rsid w:val="004b5862"/>
    <w:rPr>
      <w:rFonts w:ascii="Cambria" w:hAnsi="Cambria" w:eastAsia="" w:cs="" w:asciiTheme="majorHAnsi" w:cstheme="majorBidi" w:eastAsiaTheme="majorEastAsia" w:hAnsiTheme="majorHAnsi"/>
      <w:iCs/>
      <w:caps/>
      <w:color w:val="FFFFFF" w:themeColor="background1"/>
      <w:spacing w:val="10"/>
      <w:sz w:val="32"/>
      <w:szCs w:val="48"/>
      <w:shd w:fill="0070C0" w:val="clear"/>
      <w:lang w:eastAsia="pl-PL"/>
    </w:rPr>
  </w:style>
  <w:style w:type="character" w:styleId="PodtytuZnak" w:customStyle="1">
    <w:name w:val="Podtytuł Znak"/>
    <w:basedOn w:val="DefaultParagraphFont"/>
    <w:link w:val="Podtytu"/>
    <w:uiPriority w:val="11"/>
    <w:qFormat/>
    <w:rsid w:val="004b5862"/>
    <w:rPr>
      <w:rFonts w:ascii="Cambria" w:hAnsi="Cambria" w:eastAsia="" w:cs="" w:asciiTheme="majorHAnsi" w:cstheme="majorBidi" w:eastAsiaTheme="majorEastAsia" w:hAnsiTheme="majorHAnsi"/>
      <w:i/>
      <w:iCs/>
      <w:color w:val="4E67C8" w:themeColor="accent1"/>
      <w:spacing w:val="15"/>
      <w:sz w:val="24"/>
      <w:szCs w:val="24"/>
    </w:rPr>
  </w:style>
  <w:style w:type="character" w:styleId="Textexposedshow" w:customStyle="1">
    <w:name w:val="text_exposed_show"/>
    <w:basedOn w:val="DefaultParagraphFont"/>
    <w:qFormat/>
    <w:rsid w:val="00c55bf8"/>
    <w:rPr/>
  </w:style>
  <w:style w:type="character" w:styleId="TekstprzypisudolnegoZnak" w:customStyle="1">
    <w:name w:val="Tekst przypisu dolnego Znak"/>
    <w:basedOn w:val="DefaultParagraphFont"/>
    <w:link w:val="Tekstprzypisudolnego"/>
    <w:uiPriority w:val="99"/>
    <w:semiHidden/>
    <w:qFormat/>
    <w:rsid w:val="008d7980"/>
    <w:rPr>
      <w:sz w:val="20"/>
      <w:szCs w:val="20"/>
    </w:rPr>
  </w:style>
  <w:style w:type="character" w:styleId="Footnotereference">
    <w:name w:val="footnote reference"/>
    <w:basedOn w:val="DefaultParagraphFont"/>
    <w:uiPriority w:val="99"/>
    <w:semiHidden/>
    <w:unhideWhenUsed/>
    <w:qFormat/>
    <w:rsid w:val="008d7980"/>
    <w:rPr>
      <w:vertAlign w:val="superscript"/>
    </w:rPr>
  </w:style>
  <w:style w:type="character" w:styleId="TekstprzypisukocowegoZnak" w:customStyle="1">
    <w:name w:val="Tekst przypisu końcowego Znak"/>
    <w:basedOn w:val="DefaultParagraphFont"/>
    <w:link w:val="Tekstprzypisukocowego"/>
    <w:uiPriority w:val="99"/>
    <w:semiHidden/>
    <w:qFormat/>
    <w:rsid w:val="00293f2e"/>
    <w:rPr>
      <w:sz w:val="20"/>
      <w:szCs w:val="20"/>
    </w:rPr>
  </w:style>
  <w:style w:type="character" w:styleId="Endnotereference">
    <w:name w:val="endnote reference"/>
    <w:basedOn w:val="DefaultParagraphFont"/>
    <w:uiPriority w:val="99"/>
    <w:semiHidden/>
    <w:unhideWhenUsed/>
    <w:qFormat/>
    <w:rsid w:val="00293f2e"/>
    <w:rPr>
      <w:vertAlign w:val="superscript"/>
    </w:rPr>
  </w:style>
  <w:style w:type="character" w:styleId="NagwekZnak" w:customStyle="1">
    <w:name w:val="Nagłówek Znak"/>
    <w:basedOn w:val="DefaultParagraphFont"/>
    <w:link w:val="Nagwek"/>
    <w:uiPriority w:val="99"/>
    <w:qFormat/>
    <w:rsid w:val="003a2dda"/>
    <w:rPr/>
  </w:style>
  <w:style w:type="character" w:styleId="StopkaZnak" w:customStyle="1">
    <w:name w:val="Stopka Znak"/>
    <w:basedOn w:val="DefaultParagraphFont"/>
    <w:link w:val="Stopka"/>
    <w:uiPriority w:val="99"/>
    <w:qFormat/>
    <w:rsid w:val="003a2dda"/>
    <w:rPr/>
  </w:style>
  <w:style w:type="character" w:styleId="FollowedHyperlink">
    <w:name w:val="FollowedHyperlink"/>
    <w:basedOn w:val="DefaultParagraphFont"/>
    <w:uiPriority w:val="99"/>
    <w:semiHidden/>
    <w:unhideWhenUsed/>
    <w:qFormat/>
    <w:rsid w:val="005024c4"/>
    <w:rPr>
      <w:color w:val="59A8D1" w:themeColor="followedHyperlink"/>
      <w:u w:val="single"/>
    </w:rPr>
  </w:style>
  <w:style w:type="character" w:styleId="ListLabel1">
    <w:name w:val="ListLabel 1"/>
    <w:qFormat/>
    <w:rPr>
      <w:rFonts w:eastAsia="Calibri" w:cs="Times New Roman"/>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20"/>
    </w:rPr>
  </w:style>
  <w:style w:type="character" w:styleId="ListLabel13">
    <w:name w:val="ListLabel 13"/>
    <w:qFormat/>
    <w:rPr>
      <w:rFonts w:eastAsia="Calibri"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b w:val="false"/>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b w:val="false"/>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8a2aab"/>
    <w:pPr>
      <w:spacing w:before="0" w:after="200"/>
      <w:ind w:left="720" w:hanging="0"/>
      <w:contextualSpacing/>
    </w:pPr>
    <w:rPr/>
  </w:style>
  <w:style w:type="paragraph" w:styleId="BalloonText">
    <w:name w:val="Balloon Text"/>
    <w:basedOn w:val="Normal"/>
    <w:link w:val="TekstdymkaZnak"/>
    <w:uiPriority w:val="99"/>
    <w:semiHidden/>
    <w:unhideWhenUsed/>
    <w:qFormat/>
    <w:rsid w:val="00a23b4b"/>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0b389e"/>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0b389e"/>
    <w:pPr/>
    <w:rPr>
      <w:b/>
      <w:bCs/>
    </w:rPr>
  </w:style>
  <w:style w:type="paragraph" w:styleId="Tytu">
    <w:name w:val="Title"/>
    <w:basedOn w:val="Normal"/>
    <w:link w:val="TytuZnak"/>
    <w:uiPriority w:val="10"/>
    <w:qFormat/>
    <w:rsid w:val="004b5862"/>
    <w:pPr>
      <w:pBdr>
        <w:top w:val="single" w:sz="48" w:space="1" w:color="0070C0"/>
        <w:left w:val="single" w:sz="48" w:space="4" w:color="0070C0"/>
        <w:bottom w:val="single" w:sz="48" w:space="1" w:color="0070C0"/>
        <w:right w:val="single" w:sz="48" w:space="4" w:color="0070C0"/>
      </w:pBdr>
      <w:shd w:val="clear" w:color="auto" w:fill="0070C0"/>
      <w:spacing w:lineRule="auto" w:line="240" w:before="0" w:after="0"/>
      <w:jc w:val="center"/>
    </w:pPr>
    <w:rPr>
      <w:rFonts w:ascii="Cambria" w:hAnsi="Cambria" w:eastAsia="" w:cs="" w:asciiTheme="majorHAnsi" w:cstheme="majorBidi" w:eastAsiaTheme="majorEastAsia" w:hAnsiTheme="majorHAnsi"/>
      <w:b/>
      <w:iCs/>
      <w:caps/>
      <w:color w:val="FFFFFF" w:themeColor="background1"/>
      <w:spacing w:val="10"/>
      <w:sz w:val="32"/>
      <w:szCs w:val="48"/>
      <w:lang w:eastAsia="pl-PL"/>
    </w:rPr>
  </w:style>
  <w:style w:type="paragraph" w:styleId="KrPodtytu" w:customStyle="1">
    <w:name w:val="Kr Podtytuł"/>
    <w:qFormat/>
    <w:rsid w:val="004b5862"/>
    <w:pPr>
      <w:widowControl/>
      <w:pBdr>
        <w:top w:val="single" w:sz="8" w:space="0" w:color="0070C0"/>
        <w:left w:val="single" w:sz="48" w:space="2" w:color="0070C0"/>
        <w:bottom w:val="single" w:sz="8" w:space="10" w:color="0070C0"/>
        <w:right w:val="single" w:sz="8" w:space="4" w:color="0070C0"/>
      </w:pBdr>
      <w:bidi w:val="0"/>
      <w:spacing w:lineRule="auto" w:line="288" w:before="200" w:after="200"/>
      <w:ind w:right="567" w:hanging="0"/>
      <w:contextualSpacing/>
      <w:jc w:val="left"/>
    </w:pPr>
    <w:rPr>
      <w:rFonts w:ascii="Calibri" w:hAnsi="Calibri" w:eastAsia="" w:cs="" w:cstheme="majorBidi" w:eastAsiaTheme="majorEastAsia"/>
      <w:iCs/>
      <w:color w:val="auto"/>
      <w:sz w:val="24"/>
      <w:szCs w:val="24"/>
      <w:lang w:eastAsia="pl-PL" w:val="pl-PL" w:bidi="ar-SA"/>
    </w:rPr>
  </w:style>
  <w:style w:type="paragraph" w:styleId="Podtytu">
    <w:name w:val="Subtitle"/>
    <w:basedOn w:val="Normal"/>
    <w:link w:val="PodtytuZnak"/>
    <w:uiPriority w:val="11"/>
    <w:qFormat/>
    <w:rsid w:val="004b5862"/>
    <w:pPr/>
    <w:rPr>
      <w:rFonts w:ascii="Cambria" w:hAnsi="Cambria" w:eastAsia="" w:cs="" w:asciiTheme="majorHAnsi" w:cstheme="majorBidi" w:eastAsiaTheme="majorEastAsia" w:hAnsiTheme="majorHAnsi"/>
      <w:i/>
      <w:iCs/>
      <w:color w:val="4E67C8" w:themeColor="accent1"/>
      <w:spacing w:val="15"/>
      <w:szCs w:val="24"/>
    </w:rPr>
  </w:style>
  <w:style w:type="paragraph" w:styleId="Footnotetext">
    <w:name w:val="footnote text"/>
    <w:basedOn w:val="Normal"/>
    <w:link w:val="TekstprzypisudolnegoZnak"/>
    <w:uiPriority w:val="99"/>
    <w:semiHidden/>
    <w:unhideWhenUsed/>
    <w:qFormat/>
    <w:rsid w:val="008d7980"/>
    <w:pPr>
      <w:spacing w:lineRule="auto" w:line="240" w:before="0" w:after="0"/>
    </w:pPr>
    <w:rPr>
      <w:sz w:val="20"/>
      <w:szCs w:val="20"/>
    </w:rPr>
  </w:style>
  <w:style w:type="paragraph" w:styleId="Endnotetext">
    <w:name w:val="endnote text"/>
    <w:basedOn w:val="Normal"/>
    <w:link w:val="TekstprzypisukocowegoZnak"/>
    <w:uiPriority w:val="99"/>
    <w:semiHidden/>
    <w:unhideWhenUsed/>
    <w:qFormat/>
    <w:rsid w:val="00293f2e"/>
    <w:pPr>
      <w:spacing w:lineRule="auto" w:line="240" w:before="0" w:after="0"/>
    </w:pPr>
    <w:rPr>
      <w:sz w:val="20"/>
      <w:szCs w:val="20"/>
    </w:rPr>
  </w:style>
  <w:style w:type="paragraph" w:styleId="Gwka">
    <w:name w:val="Header"/>
    <w:basedOn w:val="Normal"/>
    <w:link w:val="NagwekZnak"/>
    <w:uiPriority w:val="99"/>
    <w:unhideWhenUsed/>
    <w:rsid w:val="003a2dda"/>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3a2dda"/>
    <w:pPr>
      <w:tabs>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e92fc4"/>
    <w:pPr>
      <w:spacing w:lineRule="auto" w:line="240" w:beforeAutospacing="1" w:afterAutospacing="1"/>
    </w:pPr>
    <w:rPr>
      <w:rFonts w:ascii="Times New Roman" w:hAnsi="Times New Roman" w:eastAsia="Times New Roman" w:cs="Times New Roman"/>
      <w:szCs w:val="24"/>
      <w:lang w:val="en-GB" w:eastAsia="en-GB"/>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062c4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Aerodynamiczny">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A1C0E-51F5-4314-8BB7-277B9BB5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Application>LibreOffice/5.1.2.2$Windows_X86_64 LibreOffice_project/d3bf12ecb743fc0d20e0be0c58ca359301eb705f</Application>
  <Pages>6</Pages>
  <Words>1780</Words>
  <Characters>11236</Characters>
  <CharactersWithSpaces>12907</CharactersWithSpaces>
  <Paragraphs>74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2022-04-22T13:45:00Z</dcterms:created>
  <dc:creator>Kreatus sp. z o.o.</dc:creator>
  <dc:description/>
  <dc:language>pl-PL</dc:language>
  <cp:lastModifiedBy/>
  <cp:lastPrinted>2017-07-04T09:11:00Z</cp:lastPrinted>
  <dcterms:modified xsi:type="dcterms:W3CDTF">2022-05-12T08:04:49Z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